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hAnsi="宋体" w:asciiTheme="minorEastAsia" w:eastAsiaTheme="minorEastAsia"/>
          <w:color w:val="000000" w:themeColor="text1"/>
          <w:sz w:val="96"/>
          <w:szCs w:val="96"/>
          <w14:textFill>
            <w14:solidFill>
              <w14:schemeClr w14:val="tx1"/>
            </w14:solidFill>
          </w14:textFill>
        </w:rPr>
      </w:pPr>
    </w:p>
    <w:p>
      <w:pPr>
        <w:widowControl/>
        <w:jc w:val="center"/>
        <w:rPr>
          <w:rFonts w:hint="eastAsia" w:hAnsi="宋体" w:asciiTheme="minorEastAsia" w:eastAsiaTheme="minorEastAsia"/>
          <w:color w:val="000000" w:themeColor="text1"/>
          <w:sz w:val="96"/>
          <w:szCs w:val="96"/>
          <w14:textFill>
            <w14:solidFill>
              <w14:schemeClr w14:val="tx1"/>
            </w14:solidFill>
          </w14:textFill>
        </w:rPr>
      </w:pPr>
    </w:p>
    <w:p>
      <w:pPr>
        <w:widowControl/>
        <w:jc w:val="center"/>
        <w:rPr>
          <w:rFonts w:hint="eastAsia" w:hAnsi="宋体" w:asciiTheme="minorEastAsia" w:eastAsiaTheme="minorEastAsia"/>
          <w:color w:val="000000" w:themeColor="text1"/>
          <w:sz w:val="96"/>
          <w:szCs w:val="96"/>
          <w14:textFill>
            <w14:solidFill>
              <w14:schemeClr w14:val="tx1"/>
            </w14:solidFill>
          </w14:textFill>
        </w:rPr>
      </w:pPr>
    </w:p>
    <w:p>
      <w:pPr>
        <w:widowControl/>
        <w:jc w:val="center"/>
        <w:rPr>
          <w:rFonts w:hint="eastAsia" w:hAnsi="宋体" w:asciiTheme="minorEastAsia" w:eastAsiaTheme="minorEastAsia"/>
          <w:color w:val="000000" w:themeColor="text1"/>
          <w:sz w:val="96"/>
          <w:szCs w:val="96"/>
          <w14:textFill>
            <w14:solidFill>
              <w14:schemeClr w14:val="tx1"/>
            </w14:solidFill>
          </w14:textFill>
        </w:rPr>
      </w:pPr>
    </w:p>
    <w:p>
      <w:pPr>
        <w:widowControl/>
        <w:jc w:val="center"/>
        <w:rPr>
          <w:rFonts w:hint="eastAsia" w:hAnsi="宋体" w:asciiTheme="minorEastAsia" w:eastAsiaTheme="minorEastAsia"/>
          <w:color w:val="000000" w:themeColor="text1"/>
          <w:sz w:val="96"/>
          <w:szCs w:val="96"/>
          <w14:textFill>
            <w14:solidFill>
              <w14:schemeClr w14:val="tx1"/>
            </w14:solidFill>
          </w14:textFill>
        </w:rPr>
      </w:pPr>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Pr>
        <w:pStyle w:val="2"/>
        <w:spacing w:before="0" w:after="0" w:line="600" w:lineRule="exact"/>
        <w:jc w:val="left"/>
        <w:rPr>
          <w:rFonts w:hint="eastAsia" w:ascii="黑体" w:eastAsia="黑体" w:cs="黑体" w:hAnsiTheme="minorHAnsi"/>
          <w:b w:val="0"/>
          <w:bCs w:val="0"/>
          <w:kern w:val="0"/>
          <w:sz w:val="32"/>
          <w:szCs w:val="32"/>
        </w:rPr>
      </w:pPr>
    </w:p>
    <w:p>
      <w:pPr>
        <w:rPr>
          <w:rFonts w:hint="eastAsia" w:ascii="黑体" w:eastAsia="黑体" w:cs="黑体" w:hAnsiTheme="minorHAnsi"/>
          <w:b w:val="0"/>
          <w:bCs w:val="0"/>
          <w:kern w:val="0"/>
          <w:sz w:val="32"/>
          <w:szCs w:val="32"/>
        </w:rPr>
      </w:pPr>
    </w:p>
    <w:p>
      <w:pPr>
        <w:rPr>
          <w:rFonts w:hint="eastAsia" w:ascii="黑体" w:eastAsia="黑体" w:cs="黑体" w:hAnsiTheme="minorHAnsi"/>
          <w:b w:val="0"/>
          <w:bCs w:val="0"/>
          <w:kern w:val="0"/>
          <w:sz w:val="32"/>
          <w:szCs w:val="32"/>
        </w:rPr>
      </w:pPr>
    </w:p>
    <w:p>
      <w:pPr>
        <w:rPr>
          <w:rFonts w:hint="eastAsia" w:ascii="黑体" w:eastAsia="黑体" w:cs="黑体" w:hAnsiTheme="minorHAnsi"/>
          <w:b w:val="0"/>
          <w:bCs w:val="0"/>
          <w:kern w:val="0"/>
          <w:sz w:val="32"/>
          <w:szCs w:val="32"/>
        </w:rPr>
      </w:pPr>
    </w:p>
    <w:p>
      <w:pPr>
        <w:rPr>
          <w:rFonts w:hint="eastAsia" w:ascii="黑体" w:eastAsia="黑体" w:cs="黑体" w:hAnsiTheme="minorHAnsi"/>
          <w:b w:val="0"/>
          <w:bCs w:val="0"/>
          <w:kern w:val="0"/>
          <w:sz w:val="32"/>
          <w:szCs w:val="32"/>
        </w:rPr>
      </w:pP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ind w:firstLine="640" w:firstLineChars="200"/>
        <w:rPr>
          <w:rFonts w:hint="eastAsia" w:ascii="仿宋" w:hAnsi="仿宋" w:eastAsia="仿宋" w:cs="仿宋"/>
          <w:color w:val="333333"/>
          <w:kern w:val="0"/>
          <w:sz w:val="32"/>
          <w:szCs w:val="32"/>
          <w:shd w:val="clear" w:color="auto" w:fill="FFFFFF"/>
          <w:lang w:eastAsia="zh-CN"/>
        </w:rPr>
      </w:pPr>
      <w:r>
        <w:rPr>
          <w:rFonts w:hint="eastAsia" w:ascii="仿宋" w:hAnsi="仿宋" w:eastAsia="仿宋" w:cs="仿宋"/>
          <w:color w:val="333333"/>
          <w:kern w:val="0"/>
          <w:sz w:val="32"/>
          <w:szCs w:val="32"/>
          <w:shd w:val="clear" w:color="auto" w:fill="FFFFFF"/>
          <w:lang w:eastAsia="zh-CN"/>
        </w:rPr>
        <w:t>结合县直机关党建工作实际，贯彻</w:t>
      </w:r>
      <w:r>
        <w:rPr>
          <w:rFonts w:hint="eastAsia" w:ascii="仿宋" w:hAnsi="仿宋" w:eastAsia="仿宋" w:cs="仿宋"/>
          <w:color w:val="333333"/>
          <w:kern w:val="0"/>
          <w:sz w:val="32"/>
          <w:szCs w:val="32"/>
          <w:shd w:val="clear" w:color="auto" w:fill="FFFFFF"/>
        </w:rPr>
        <w:t>执行</w:t>
      </w:r>
      <w:r>
        <w:rPr>
          <w:rFonts w:hint="eastAsia" w:ascii="仿宋" w:hAnsi="仿宋" w:eastAsia="仿宋" w:cs="仿宋"/>
          <w:color w:val="333333"/>
          <w:kern w:val="0"/>
          <w:sz w:val="32"/>
          <w:szCs w:val="32"/>
          <w:shd w:val="clear" w:color="auto" w:fill="FFFFFF"/>
          <w:lang w:eastAsia="zh-CN"/>
        </w:rPr>
        <w:t>党的路线、方针、政策和县委的指示、决议；</w:t>
      </w:r>
    </w:p>
    <w:p>
      <w:pPr>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lang w:eastAsia="zh-CN"/>
        </w:rPr>
        <w:t>按照县委的要求，围绕经济建设中心，制定县直机关党的建设规划，并督促检查落实。</w:t>
      </w:r>
    </w:p>
    <w:p>
      <w:pPr>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lang w:eastAsia="zh-CN"/>
        </w:rPr>
        <w:t>指导县直基层党组织抓好党的思想、组织、作风建设和制度建设，做好党员管理教育工作，为经济建设提供思想、政治和组织保证；</w:t>
      </w:r>
    </w:p>
    <w:p>
      <w:pPr>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lang w:eastAsia="zh-CN"/>
        </w:rPr>
        <w:t>按照党章和基层党组织选举工作暂行条例规定，负责审批县直机关党组织设置和党务干部；</w:t>
      </w:r>
    </w:p>
    <w:p>
      <w:pPr>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lang w:eastAsia="zh-CN"/>
        </w:rPr>
        <w:t>指导县直基层党组织实施对党员特别是党员领导干部的监督，监督党员领导干部过好双重组织生活；</w:t>
      </w:r>
    </w:p>
    <w:p>
      <w:pPr>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lang w:eastAsia="zh-CN"/>
        </w:rPr>
        <w:t>按照党章规定，做好新党员的发展工作，按照有关规定审议审批县级党员干部的违纪案件；</w:t>
      </w:r>
    </w:p>
    <w:p>
      <w:pPr>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lang w:eastAsia="zh-CN"/>
        </w:rPr>
        <w:t>领导县直机关纪工委的工作；</w:t>
      </w:r>
    </w:p>
    <w:p>
      <w:pPr>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lang w:eastAsia="zh-CN"/>
        </w:rPr>
        <w:t>必要时组织召开县直机关党的代表会议；</w:t>
      </w:r>
    </w:p>
    <w:p>
      <w:pPr>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lang w:eastAsia="zh-CN"/>
        </w:rPr>
        <w:t>建立机关工委与县直各部门党组联席会议制度，交流工作情况，研究和改进机关党建工作；</w:t>
      </w:r>
    </w:p>
    <w:p>
      <w:pPr>
        <w:ind w:firstLine="640" w:firstLineChars="200"/>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lang w:eastAsia="zh-CN"/>
        </w:rPr>
        <w:t>执行县委交办的其它任务。</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7"/>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vAlign w:val="center"/>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县直工委</w:t>
            </w:r>
          </w:p>
        </w:tc>
        <w:tc>
          <w:tcPr>
            <w:tcW w:w="2445" w:type="dxa"/>
            <w:vAlign w:val="center"/>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行政</w:t>
            </w:r>
          </w:p>
        </w:tc>
        <w:tc>
          <w:tcPr>
            <w:tcW w:w="2665" w:type="dxa"/>
            <w:vAlign w:val="center"/>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1200" w:lineRule="exact"/>
        <w:jc w:val="both"/>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int="eastAsia"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jc w:val="cente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w:t>
      </w:r>
      <w:r>
        <w:rPr>
          <w:rFonts w:hint="eastAsia" w:ascii="仿宋_GB2312" w:hAnsi="仿宋_GB2312" w:eastAsia="仿宋_GB2312" w:cs="仿宋_GB2312"/>
          <w:sz w:val="32"/>
          <w:szCs w:val="32"/>
          <w:lang w:val="en-US" w:eastAsia="zh-CN"/>
        </w:rPr>
        <w:t>121.92</w:t>
      </w:r>
      <w:r>
        <w:rPr>
          <w:rFonts w:hint="eastAsia" w:ascii="仿宋_GB2312" w:eastAsia="仿宋_GB2312" w:cs="DengXian-Regular"/>
          <w:sz w:val="32"/>
          <w:szCs w:val="32"/>
        </w:rPr>
        <w:t>万元。与2017年度决算相比，收支各减少</w:t>
      </w:r>
      <w:r>
        <w:rPr>
          <w:rFonts w:hint="eastAsia" w:ascii="仿宋_GB2312" w:eastAsia="仿宋_GB2312" w:cs="DengXian-Regular"/>
          <w:sz w:val="32"/>
          <w:szCs w:val="32"/>
          <w:lang w:val="en-US" w:eastAsia="zh-CN"/>
        </w:rPr>
        <w:t>1.4</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1.14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因为人员减少</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pStyle w:val="3"/>
        <w:spacing w:before="0" w:after="0" w:line="580" w:lineRule="exact"/>
        <w:ind w:firstLine="643"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121.92</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121.92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pStyle w:val="3"/>
        <w:spacing w:before="0" w:after="0" w:line="580" w:lineRule="exact"/>
        <w:ind w:firstLine="643"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120.66</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120.66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121.92</w:t>
      </w:r>
      <w:r>
        <w:rPr>
          <w:rFonts w:hint="eastAsia" w:ascii="仿宋_GB2312" w:eastAsia="仿宋_GB2312" w:cs="DengXian-Regular"/>
          <w:sz w:val="32"/>
          <w:szCs w:val="32"/>
        </w:rPr>
        <w:t>万元,比2017年度减少</w:t>
      </w:r>
      <w:r>
        <w:rPr>
          <w:rFonts w:hint="eastAsia" w:ascii="仿宋_GB2312" w:eastAsia="仿宋_GB2312" w:cs="DengXian-Regular"/>
          <w:sz w:val="32"/>
          <w:szCs w:val="32"/>
          <w:lang w:val="en-US" w:eastAsia="zh-CN"/>
        </w:rPr>
        <w:t>1.4</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1.14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120.66</w:t>
      </w:r>
      <w:r>
        <w:rPr>
          <w:rFonts w:hint="eastAsia" w:ascii="仿宋_GB2312" w:eastAsia="仿宋_GB2312" w:cs="DengXian-Regular"/>
          <w:sz w:val="32"/>
          <w:szCs w:val="32"/>
        </w:rPr>
        <w:t>万元，减少</w:t>
      </w:r>
      <w:r>
        <w:rPr>
          <w:rFonts w:hint="eastAsia" w:ascii="仿宋_GB2312" w:eastAsia="仿宋_GB2312" w:cs="DengXian-Regular"/>
          <w:sz w:val="32"/>
          <w:szCs w:val="32"/>
          <w:lang w:val="en-US" w:eastAsia="zh-CN"/>
        </w:rPr>
        <w:t>1.4</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1.14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有人员减少</w:t>
      </w:r>
      <w:r>
        <w:rPr>
          <w:rFonts w:hint="eastAsia" w:ascii="仿宋_GB2312" w:eastAsia="仿宋_GB2312" w:cs="DengXian-Regular"/>
          <w:sz w:val="32"/>
          <w:szCs w:val="32"/>
        </w:rPr>
        <w:t>。</w:t>
      </w:r>
    </w:p>
    <w:p>
      <w:pPr>
        <w:spacing w:after="0" w:line="580" w:lineRule="exact"/>
        <w:ind w:firstLine="643" w:firstLineChars="200"/>
        <w:rPr>
          <w:rFonts w:ascii="仿宋_GB2312" w:eastAsia="仿宋_GB2312" w:cs="DengXian-Bold"/>
          <w:b/>
          <w:bCs/>
          <w:color w:val="auto"/>
          <w:sz w:val="32"/>
          <w:szCs w:val="32"/>
        </w:rPr>
      </w:pPr>
      <w:r>
        <w:rPr>
          <w:rFonts w:hint="eastAsia" w:ascii="楷体_GB2312" w:eastAsia="楷体_GB2312" w:cs="DengXian-Bold"/>
          <w:b/>
          <w:bCs/>
          <w:color w:val="auto"/>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color w:val="auto"/>
          <w:sz w:val="32"/>
          <w:szCs w:val="32"/>
        </w:rPr>
      </w:pPr>
      <w:r>
        <w:rPr>
          <w:rFonts w:hint="eastAsia" w:ascii="仿宋_GB2312" w:eastAsia="仿宋_GB2312" w:cs="DengXian-Regular"/>
          <w:color w:val="auto"/>
          <w:sz w:val="32"/>
          <w:szCs w:val="32"/>
        </w:rPr>
        <w:t>本部门2018年度一般公共预算财政拨款收入</w:t>
      </w:r>
      <w:r>
        <w:rPr>
          <w:rFonts w:hint="eastAsia" w:ascii="仿宋_GB2312" w:eastAsia="仿宋_GB2312" w:cs="DengXian-Regular"/>
          <w:color w:val="auto"/>
          <w:sz w:val="32"/>
          <w:szCs w:val="32"/>
          <w:lang w:val="en-US" w:eastAsia="zh-CN"/>
        </w:rPr>
        <w:t>121.92</w:t>
      </w:r>
      <w:r>
        <w:rPr>
          <w:rFonts w:hint="eastAsia" w:ascii="仿宋_GB2312" w:eastAsia="仿宋_GB2312" w:cs="DengXian-Regular"/>
          <w:color w:val="auto"/>
          <w:sz w:val="32"/>
          <w:szCs w:val="32"/>
        </w:rPr>
        <w:t>万元，完成年初预算的</w:t>
      </w:r>
      <w:r>
        <w:rPr>
          <w:rFonts w:hint="eastAsia" w:ascii="仿宋_GB2312" w:eastAsia="仿宋_GB2312" w:cs="DengXian-Regular"/>
          <w:color w:val="auto"/>
          <w:sz w:val="32"/>
          <w:szCs w:val="32"/>
          <w:lang w:val="en-US" w:eastAsia="zh-CN"/>
        </w:rPr>
        <w:t>116</w:t>
      </w:r>
      <w:r>
        <w:rPr>
          <w:rFonts w:hint="eastAsia" w:ascii="仿宋_GB2312" w:eastAsia="仿宋_GB2312" w:cs="DengXian-Regular"/>
          <w:color w:val="auto"/>
          <w:sz w:val="32"/>
          <w:szCs w:val="32"/>
        </w:rPr>
        <w:t>%,比年初预算增加</w:t>
      </w:r>
      <w:r>
        <w:rPr>
          <w:rFonts w:hint="eastAsia" w:ascii="仿宋_GB2312" w:eastAsia="仿宋_GB2312" w:cs="DengXian-Regular"/>
          <w:color w:val="auto"/>
          <w:sz w:val="32"/>
          <w:szCs w:val="32"/>
          <w:lang w:val="en-US" w:eastAsia="zh-CN"/>
        </w:rPr>
        <w:t>16.81</w:t>
      </w:r>
      <w:r>
        <w:rPr>
          <w:rFonts w:hint="eastAsia" w:ascii="仿宋_GB2312" w:eastAsia="仿宋_GB2312" w:cs="DengXian-Regular"/>
          <w:color w:val="auto"/>
          <w:sz w:val="32"/>
          <w:szCs w:val="32"/>
        </w:rPr>
        <w:t>万元，决算数大于预算数主要是</w:t>
      </w:r>
      <w:r>
        <w:rPr>
          <w:rFonts w:hint="eastAsia" w:ascii="仿宋_GB2312" w:eastAsia="仿宋_GB2312" w:cs="DengXian-Regular"/>
          <w:color w:val="auto"/>
          <w:sz w:val="32"/>
          <w:szCs w:val="32"/>
          <w:lang w:eastAsia="zh-CN"/>
        </w:rPr>
        <w:t>因为涨工资</w:t>
      </w:r>
      <w:r>
        <w:rPr>
          <w:rFonts w:hint="eastAsia" w:ascii="仿宋_GB2312" w:eastAsia="仿宋_GB2312" w:cs="DengXian-Regular"/>
          <w:color w:val="auto"/>
          <w:sz w:val="32"/>
          <w:szCs w:val="32"/>
        </w:rPr>
        <w:t>；本年支出</w:t>
      </w:r>
      <w:r>
        <w:rPr>
          <w:rFonts w:hint="eastAsia" w:ascii="仿宋_GB2312" w:eastAsia="仿宋_GB2312" w:cs="DengXian-Regular"/>
          <w:color w:val="auto"/>
          <w:sz w:val="32"/>
          <w:szCs w:val="32"/>
          <w:lang w:val="en-US" w:eastAsia="zh-CN"/>
        </w:rPr>
        <w:t>120.66</w:t>
      </w:r>
      <w:r>
        <w:rPr>
          <w:rFonts w:hint="eastAsia" w:ascii="仿宋_GB2312" w:eastAsia="仿宋_GB2312" w:cs="DengXian-Regular"/>
          <w:color w:val="auto"/>
          <w:sz w:val="32"/>
          <w:szCs w:val="32"/>
        </w:rPr>
        <w:t>万元，完成年初预算的</w:t>
      </w:r>
      <w:r>
        <w:rPr>
          <w:rFonts w:hint="eastAsia" w:ascii="仿宋_GB2312" w:eastAsia="仿宋_GB2312" w:cs="DengXian-Regular"/>
          <w:color w:val="auto"/>
          <w:sz w:val="32"/>
          <w:szCs w:val="32"/>
          <w:lang w:val="en-US" w:eastAsia="zh-CN"/>
        </w:rPr>
        <w:t>115</w:t>
      </w:r>
      <w:r>
        <w:rPr>
          <w:rFonts w:hint="eastAsia" w:ascii="仿宋_GB2312" w:eastAsia="仿宋_GB2312" w:cs="DengXian-Regular"/>
          <w:color w:val="auto"/>
          <w:sz w:val="32"/>
          <w:szCs w:val="32"/>
        </w:rPr>
        <w:t>%,比年初预算增加</w:t>
      </w:r>
      <w:r>
        <w:rPr>
          <w:rFonts w:hint="eastAsia" w:ascii="仿宋_GB2312" w:eastAsia="仿宋_GB2312" w:cs="DengXian-Regular"/>
          <w:color w:val="auto"/>
          <w:sz w:val="32"/>
          <w:szCs w:val="32"/>
          <w:lang w:val="en-US" w:eastAsia="zh-CN"/>
        </w:rPr>
        <w:t>15.55</w:t>
      </w:r>
      <w:r>
        <w:rPr>
          <w:rFonts w:hint="eastAsia" w:ascii="仿宋_GB2312" w:eastAsia="仿宋_GB2312" w:cs="DengXian-Regular"/>
          <w:color w:val="auto"/>
          <w:sz w:val="32"/>
          <w:szCs w:val="32"/>
        </w:rPr>
        <w:t>万元，决算数大于预算数主要是</w:t>
      </w:r>
      <w:r>
        <w:rPr>
          <w:rFonts w:hint="eastAsia" w:ascii="仿宋_GB2312" w:eastAsia="仿宋_GB2312" w:cs="DengXian-Regular"/>
          <w:color w:val="auto"/>
          <w:sz w:val="32"/>
          <w:szCs w:val="32"/>
          <w:lang w:eastAsia="zh-CN"/>
        </w:rPr>
        <w:t>工资增加了</w:t>
      </w:r>
      <w:r>
        <w:rPr>
          <w:rFonts w:hint="eastAsia" w:ascii="仿宋_GB2312" w:eastAsia="仿宋_GB2312" w:cs="DengXian-Regular"/>
          <w:color w:val="auto"/>
          <w:sz w:val="32"/>
          <w:szCs w:val="32"/>
        </w:rPr>
        <w:t>。</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120.66</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120.66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120.66</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109.5</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11.17</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仿宋_GB2312" w:hAnsi="Times New Roman" w:eastAsia="仿宋_GB2312" w:cs="DengXian-Regular"/>
          <w:b w:val="0"/>
          <w:bCs w:val="0"/>
          <w:highlight w:val="yellow"/>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1</w:t>
      </w:r>
      <w:r>
        <w:rPr>
          <w:rFonts w:eastAsia="仿宋_GB2312"/>
          <w:sz w:val="32"/>
          <w:szCs w:val="32"/>
        </w:rPr>
        <w:t>万元，</w:t>
      </w:r>
      <w:r>
        <w:rPr>
          <w:rFonts w:hint="eastAsia" w:eastAsia="仿宋_GB2312"/>
          <w:sz w:val="32"/>
          <w:szCs w:val="32"/>
          <w:lang w:eastAsia="zh-CN"/>
        </w:rPr>
        <w:t>与年初预算持平，</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w:t>
      </w:r>
      <w:r>
        <w:rPr>
          <w:rFonts w:eastAsia="仿宋_GB2312"/>
          <w:sz w:val="32"/>
          <w:szCs w:val="32"/>
        </w:rPr>
        <w:t>万元，降低</w:t>
      </w:r>
      <w:r>
        <w:rPr>
          <w:rFonts w:hint="eastAsia" w:eastAsia="仿宋_GB2312"/>
          <w:sz w:val="32"/>
          <w:szCs w:val="32"/>
          <w:lang w:val="en-US" w:eastAsia="zh-CN"/>
        </w:rPr>
        <w:t>16.67</w:t>
      </w:r>
      <w:r>
        <w:rPr>
          <w:rFonts w:eastAsia="仿宋_GB2312"/>
          <w:sz w:val="32"/>
          <w:szCs w:val="32"/>
        </w:rPr>
        <w:t>%，主要是</w:t>
      </w:r>
      <w:r>
        <w:rPr>
          <w:rFonts w:hint="eastAsia" w:eastAsia="仿宋_GB2312"/>
          <w:sz w:val="32"/>
          <w:szCs w:val="32"/>
        </w:rPr>
        <w:t>剩余车补用于公务用车</w:t>
      </w:r>
      <w:r>
        <w:rPr>
          <w:rFonts w:eastAsia="仿宋_GB2312"/>
          <w:sz w:val="32"/>
          <w:szCs w:val="32"/>
        </w:rPr>
        <w:t>。具体情况如下：</w:t>
      </w:r>
    </w:p>
    <w:p>
      <w:pPr>
        <w:numPr>
          <w:ilvl w:val="0"/>
          <w:numId w:val="2"/>
        </w:numPr>
        <w:adjustRightInd w:val="0"/>
        <w:snapToGrid w:val="0"/>
        <w:spacing w:line="584" w:lineRule="exact"/>
        <w:ind w:firstLine="643" w:firstLineChars="200"/>
        <w:rPr>
          <w:rFonts w:hint="eastAsia" w:eastAsia="仿宋_GB2312"/>
          <w:sz w:val="32"/>
          <w:szCs w:val="32"/>
          <w:lang w:val="en-US" w:eastAsia="zh-CN"/>
        </w:rPr>
      </w:pP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w:t>
      </w:r>
      <w:r>
        <w:rPr>
          <w:rFonts w:hint="eastAsia" w:eastAsia="仿宋_GB2312"/>
          <w:sz w:val="32"/>
          <w:szCs w:val="32"/>
          <w:lang w:eastAsia="zh-CN"/>
        </w:rPr>
        <w:t>费支出比年初预算无增加；比</w:t>
      </w:r>
      <w:r>
        <w:rPr>
          <w:rFonts w:hint="eastAsia" w:eastAsia="仿宋_GB2312"/>
          <w:sz w:val="32"/>
          <w:szCs w:val="32"/>
          <w:lang w:val="en-US" w:eastAsia="zh-CN"/>
        </w:rPr>
        <w:t>2017年决算无增加。</w:t>
      </w:r>
    </w:p>
    <w:p>
      <w:pPr>
        <w:numPr>
          <w:ilvl w:val="0"/>
          <w:numId w:val="0"/>
        </w:num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1</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hint="eastAsia" w:eastAsia="仿宋_GB2312"/>
          <w:sz w:val="32"/>
          <w:szCs w:val="32"/>
          <w:lang w:eastAsia="zh-CN"/>
        </w:rPr>
        <w:t>持平。</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w:t>
      </w:r>
      <w:r>
        <w:rPr>
          <w:rFonts w:eastAsia="仿宋_GB2312"/>
          <w:sz w:val="32"/>
          <w:szCs w:val="32"/>
        </w:rPr>
        <w:t>万元，降低</w:t>
      </w:r>
      <w:r>
        <w:rPr>
          <w:rFonts w:hint="eastAsia" w:eastAsia="仿宋_GB2312"/>
          <w:sz w:val="32"/>
          <w:szCs w:val="32"/>
          <w:lang w:val="en-US" w:eastAsia="zh-CN"/>
        </w:rPr>
        <w:t>16.67</w:t>
      </w:r>
      <w:r>
        <w:rPr>
          <w:rFonts w:eastAsia="仿宋_GB2312"/>
          <w:sz w:val="32"/>
          <w:szCs w:val="32"/>
        </w:rPr>
        <w:t>%，主要是</w:t>
      </w:r>
      <w:r>
        <w:rPr>
          <w:rFonts w:hint="eastAsia" w:eastAsia="仿宋_GB2312"/>
          <w:sz w:val="32"/>
          <w:szCs w:val="32"/>
        </w:rPr>
        <w:t>剩余车补用于公务用车</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hint="eastAsia" w:eastAsia="仿宋_GB2312"/>
          <w:sz w:val="32"/>
          <w:szCs w:val="32"/>
          <w:lang w:val="en-US" w:eastAsia="zh-CN"/>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w:t>
      </w:r>
      <w:r>
        <w:rPr>
          <w:rFonts w:hint="eastAsia" w:eastAsia="仿宋_GB2312"/>
          <w:sz w:val="32"/>
          <w:szCs w:val="32"/>
          <w:lang w:eastAsia="zh-CN"/>
        </w:rPr>
        <w:t>支出比年初预算无增加；比</w:t>
      </w:r>
      <w:r>
        <w:rPr>
          <w:rFonts w:hint="eastAsia" w:eastAsia="仿宋_GB2312"/>
          <w:sz w:val="32"/>
          <w:szCs w:val="32"/>
          <w:lang w:val="en-US" w:eastAsia="zh-CN"/>
        </w:rPr>
        <w:t>2017年决算无增加。</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1</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1</w:t>
      </w:r>
      <w:r>
        <w:rPr>
          <w:rFonts w:eastAsia="仿宋_GB2312"/>
          <w:sz w:val="32"/>
          <w:szCs w:val="32"/>
        </w:rPr>
        <w:t>辆。公车运行维护费支出</w:t>
      </w:r>
      <w:r>
        <w:rPr>
          <w:rFonts w:hint="eastAsia" w:eastAsia="仿宋_GB2312"/>
          <w:sz w:val="32"/>
          <w:szCs w:val="32"/>
          <w:lang w:eastAsia="zh-CN"/>
        </w:rPr>
        <w:t>与</w:t>
      </w:r>
      <w:r>
        <w:rPr>
          <w:rFonts w:eastAsia="仿宋_GB2312"/>
          <w:sz w:val="32"/>
          <w:szCs w:val="32"/>
        </w:rPr>
        <w:t>年初预算</w:t>
      </w:r>
      <w:r>
        <w:rPr>
          <w:rFonts w:hint="eastAsia" w:eastAsia="仿宋_GB2312"/>
          <w:sz w:val="32"/>
          <w:szCs w:val="32"/>
          <w:lang w:eastAsia="zh-CN"/>
        </w:rPr>
        <w:t>持平</w:t>
      </w:r>
      <w:bookmarkStart w:id="0" w:name="_GoBack"/>
      <w:bookmarkEnd w:id="0"/>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w:t>
      </w:r>
      <w:r>
        <w:rPr>
          <w:rFonts w:eastAsia="仿宋_GB2312"/>
          <w:sz w:val="32"/>
          <w:szCs w:val="32"/>
        </w:rPr>
        <w:t>万元，降低</w:t>
      </w:r>
      <w:r>
        <w:rPr>
          <w:rFonts w:hint="eastAsia" w:eastAsia="仿宋_GB2312"/>
          <w:sz w:val="32"/>
          <w:szCs w:val="32"/>
          <w:lang w:val="en-US" w:eastAsia="zh-CN"/>
        </w:rPr>
        <w:t>16.67</w:t>
      </w:r>
      <w:r>
        <w:rPr>
          <w:rFonts w:eastAsia="仿宋_GB2312"/>
          <w:sz w:val="32"/>
          <w:szCs w:val="32"/>
        </w:rPr>
        <w:t>%，主要是</w:t>
      </w:r>
      <w:r>
        <w:rPr>
          <w:rFonts w:hint="eastAsia" w:eastAsia="仿宋_GB2312"/>
          <w:sz w:val="32"/>
          <w:szCs w:val="32"/>
        </w:rPr>
        <w:t>剩余车补用于公务用车</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w:t>
      </w:r>
      <w:r>
        <w:rPr>
          <w:rFonts w:hint="eastAsia" w:eastAsia="仿宋_GB2312"/>
          <w:sz w:val="32"/>
          <w:szCs w:val="32"/>
          <w:lang w:eastAsia="zh-CN"/>
        </w:rPr>
        <w:t>支出比年初预算无增加；比</w:t>
      </w:r>
      <w:r>
        <w:rPr>
          <w:rFonts w:hint="eastAsia" w:eastAsia="仿宋_GB2312"/>
          <w:sz w:val="32"/>
          <w:szCs w:val="32"/>
          <w:lang w:val="en-US" w:eastAsia="zh-CN"/>
        </w:rPr>
        <w:t>2017年决算无增加。</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pStyle w:val="5"/>
        <w:widowControl/>
        <w:shd w:val="clear" w:color="auto" w:fill="FFFFFF"/>
        <w:spacing w:before="0" w:beforeAutospacing="0" w:after="0" w:afterAutospacing="0" w:line="405" w:lineRule="atLeast"/>
        <w:ind w:firstLine="627" w:firstLineChars="196"/>
        <w:jc w:val="left"/>
        <w:rPr>
          <w:rFonts w:hint="eastAsia" w:ascii="仿宋" w:hAnsi="仿宋" w:eastAsia="仿宋" w:cs="仿宋"/>
          <w:color w:val="333333"/>
          <w:sz w:val="32"/>
          <w:szCs w:val="32"/>
          <w:shd w:val="clear" w:color="auto" w:fill="FFFFFF"/>
          <w:lang w:bidi="ar-SA"/>
        </w:rPr>
      </w:pPr>
      <w:r>
        <w:rPr>
          <w:rFonts w:hint="eastAsia" w:ascii="仿宋_GB2312" w:eastAsia="仿宋_GB2312" w:cs="DengXian-Regular"/>
          <w:sz w:val="32"/>
          <w:szCs w:val="32"/>
        </w:rPr>
        <w:t>（一）预算绩效管理工作开展情况。</w:t>
      </w:r>
      <w:r>
        <w:rPr>
          <w:rFonts w:hint="eastAsia" w:ascii="仿宋" w:hAnsi="仿宋" w:eastAsia="仿宋" w:cs="仿宋"/>
          <w:color w:val="333333"/>
          <w:sz w:val="32"/>
          <w:szCs w:val="32"/>
          <w:shd w:val="clear" w:color="auto" w:fill="FFFFFF"/>
          <w:lang w:bidi="ar-SA"/>
        </w:rPr>
        <w:t>根据</w:t>
      </w:r>
      <w:r>
        <w:rPr>
          <w:rFonts w:hint="eastAsia" w:ascii="仿宋" w:hAnsi="仿宋" w:eastAsia="仿宋" w:cs="仿宋"/>
          <w:color w:val="333333"/>
          <w:sz w:val="32"/>
          <w:szCs w:val="32"/>
          <w:shd w:val="clear" w:color="auto" w:fill="FFFFFF"/>
          <w:lang w:eastAsia="zh-CN" w:bidi="ar-SA"/>
        </w:rPr>
        <w:t>县</w:t>
      </w:r>
      <w:r>
        <w:rPr>
          <w:rFonts w:hint="eastAsia" w:ascii="仿宋" w:hAnsi="仿宋" w:eastAsia="仿宋" w:cs="仿宋"/>
          <w:color w:val="333333"/>
          <w:sz w:val="32"/>
          <w:szCs w:val="32"/>
          <w:shd w:val="clear" w:color="auto" w:fill="FFFFFF"/>
          <w:lang w:bidi="ar-SA"/>
        </w:rPr>
        <w:t>财政预算绩效管理要求，</w:t>
      </w:r>
      <w:r>
        <w:rPr>
          <w:rFonts w:hint="eastAsia" w:ascii="仿宋" w:hAnsi="仿宋" w:eastAsia="仿宋" w:cs="仿宋"/>
          <w:color w:val="333333"/>
          <w:sz w:val="32"/>
          <w:szCs w:val="32"/>
          <w:shd w:val="clear" w:color="auto" w:fill="FFFFFF"/>
          <w:lang w:eastAsia="zh-CN" w:bidi="ar-SA"/>
        </w:rPr>
        <w:t>县</w:t>
      </w:r>
      <w:r>
        <w:rPr>
          <w:rFonts w:hint="eastAsia" w:ascii="仿宋" w:hAnsi="仿宋" w:eastAsia="仿宋" w:cs="仿宋"/>
          <w:color w:val="333333"/>
          <w:sz w:val="32"/>
          <w:szCs w:val="32"/>
          <w:shd w:val="clear" w:color="auto" w:fill="FFFFFF"/>
          <w:lang w:bidi="ar-SA"/>
        </w:rPr>
        <w:t>直工委部门以“部门职责-工作活动”为依据，确定部门预算项目和预算额度，清晰描述预算项目开支范围和内容，确定预算项目的绩效目标、绩效指标和评价标准，为预算绩效控制、绩效分析、绩效评价打下好的基础。</w:t>
      </w:r>
    </w:p>
    <w:p>
      <w:pPr>
        <w:pStyle w:val="5"/>
        <w:widowControl/>
        <w:shd w:val="clear" w:color="auto" w:fill="FFFFFF"/>
        <w:spacing w:before="0" w:beforeAutospacing="0" w:after="0" w:afterAutospacing="0" w:line="405" w:lineRule="atLeast"/>
        <w:ind w:firstLine="627" w:firstLineChars="196"/>
        <w:jc w:val="left"/>
        <w:rPr>
          <w:rFonts w:hint="eastAsia" w:ascii="仿宋" w:hAnsi="仿宋" w:eastAsia="仿宋" w:cs="仿宋"/>
          <w:color w:val="333333"/>
          <w:sz w:val="32"/>
          <w:szCs w:val="32"/>
          <w:shd w:val="clear" w:color="auto" w:fill="FFFFFF"/>
          <w:lang w:bidi="ar-SA"/>
        </w:rPr>
      </w:pPr>
      <w:r>
        <w:rPr>
          <w:rFonts w:hint="eastAsia" w:ascii="仿宋_GB2312" w:eastAsia="仿宋_GB2312" w:cs="DengXian-Regular"/>
          <w:sz w:val="32"/>
          <w:szCs w:val="32"/>
        </w:rPr>
        <w:t>（二）项目绩效自评结果。</w:t>
      </w:r>
      <w:r>
        <w:rPr>
          <w:rFonts w:hint="eastAsia" w:ascii="仿宋" w:hAnsi="仿宋" w:eastAsia="仿宋" w:cs="仿宋"/>
          <w:color w:val="333333"/>
          <w:sz w:val="32"/>
          <w:szCs w:val="32"/>
          <w:shd w:val="clear" w:color="auto" w:fill="FFFFFF"/>
          <w:lang w:bidi="ar-SA"/>
        </w:rPr>
        <w:t>按照</w:t>
      </w:r>
      <w:r>
        <w:rPr>
          <w:rFonts w:hint="eastAsia" w:ascii="仿宋" w:hAnsi="仿宋" w:eastAsia="仿宋" w:cs="仿宋"/>
          <w:color w:val="333333"/>
          <w:sz w:val="32"/>
          <w:szCs w:val="32"/>
          <w:shd w:val="clear" w:color="auto" w:fill="FFFFFF"/>
          <w:lang w:eastAsia="zh-CN" w:bidi="ar-SA"/>
        </w:rPr>
        <w:t>县</w:t>
      </w:r>
      <w:r>
        <w:rPr>
          <w:rFonts w:hint="eastAsia" w:ascii="仿宋" w:hAnsi="仿宋" w:eastAsia="仿宋" w:cs="仿宋"/>
          <w:color w:val="333333"/>
          <w:sz w:val="32"/>
          <w:szCs w:val="32"/>
          <w:shd w:val="clear" w:color="auto" w:fill="FFFFFF"/>
          <w:lang w:bidi="ar-SA"/>
        </w:rPr>
        <w:t>财政预算绩效管理要求，</w:t>
      </w:r>
      <w:r>
        <w:rPr>
          <w:rFonts w:hint="eastAsia" w:ascii="仿宋" w:hAnsi="仿宋" w:eastAsia="仿宋" w:cs="仿宋"/>
          <w:color w:val="333333"/>
          <w:sz w:val="32"/>
          <w:szCs w:val="32"/>
          <w:shd w:val="clear" w:color="auto" w:fill="FFFFFF"/>
          <w:lang w:eastAsia="zh-CN" w:bidi="ar-SA"/>
        </w:rPr>
        <w:t>县</w:t>
      </w:r>
      <w:r>
        <w:rPr>
          <w:rFonts w:hint="eastAsia" w:ascii="仿宋" w:hAnsi="仿宋" w:eastAsia="仿宋" w:cs="仿宋"/>
          <w:color w:val="333333"/>
          <w:sz w:val="32"/>
          <w:szCs w:val="32"/>
          <w:shd w:val="clear" w:color="auto" w:fill="FFFFFF"/>
          <w:lang w:bidi="ar-SA"/>
        </w:rPr>
        <w:t>直工委部门对 201</w:t>
      </w:r>
      <w:r>
        <w:rPr>
          <w:rFonts w:hint="eastAsia" w:ascii="仿宋" w:hAnsi="仿宋" w:eastAsia="仿宋" w:cs="仿宋"/>
          <w:color w:val="333333"/>
          <w:sz w:val="32"/>
          <w:szCs w:val="32"/>
          <w:shd w:val="clear" w:color="auto" w:fill="FFFFFF"/>
          <w:lang w:val="en-US" w:eastAsia="zh-CN" w:bidi="ar-SA"/>
        </w:rPr>
        <w:t>8</w:t>
      </w:r>
      <w:r>
        <w:rPr>
          <w:rFonts w:hint="eastAsia" w:ascii="仿宋" w:hAnsi="仿宋" w:eastAsia="仿宋" w:cs="仿宋"/>
          <w:color w:val="333333"/>
          <w:sz w:val="32"/>
          <w:szCs w:val="32"/>
          <w:shd w:val="clear" w:color="auto" w:fill="FFFFFF"/>
          <w:lang w:bidi="ar-SA"/>
        </w:rPr>
        <w:t>年初确定的部门一般公共预算支出项目全面开展了绩效自评。绩效自评覆盖率达到 100%。</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（三）重点项目绩效评价结果。</w:t>
      </w:r>
    </w:p>
    <w:p>
      <w:pPr>
        <w:adjustRightInd w:val="0"/>
        <w:snapToGrid w:val="0"/>
        <w:spacing w:after="0" w:line="580" w:lineRule="exact"/>
        <w:ind w:firstLine="1600" w:firstLineChars="500"/>
        <w:rPr>
          <w:rFonts w:hint="eastAsia" w:ascii="仿宋_GB2312" w:eastAsia="仿宋_GB2312" w:cs="DengXian-Regular"/>
          <w:sz w:val="32"/>
          <w:szCs w:val="32"/>
          <w:lang w:val="en-US" w:eastAsia="zh-CN"/>
        </w:rPr>
      </w:pPr>
      <w:r>
        <w:rPr>
          <w:rFonts w:hint="eastAsia" w:ascii="仿宋_GB2312" w:eastAsia="仿宋_GB2312" w:cs="DengXian-Regular"/>
          <w:sz w:val="32"/>
          <w:szCs w:val="32"/>
          <w:lang w:eastAsia="zh-CN"/>
        </w:rPr>
        <w:t>我单位无项目。</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11.17</w:t>
      </w:r>
      <w:r>
        <w:rPr>
          <w:rFonts w:hint="eastAsia" w:ascii="仿宋_GB2312" w:eastAsia="仿宋_GB2312" w:cs="DengXian-Regular"/>
          <w:sz w:val="32"/>
          <w:szCs w:val="32"/>
        </w:rPr>
        <w:t>万元，比年初预算数减少</w:t>
      </w:r>
      <w:r>
        <w:rPr>
          <w:rFonts w:hint="eastAsia" w:eastAsia="仿宋_GB2312"/>
          <w:sz w:val="32"/>
          <w:szCs w:val="32"/>
          <w:lang w:val="en-US" w:eastAsia="zh-CN"/>
        </w:rPr>
        <w:t>1.33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11.12</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福利费剩余</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2.8</w:t>
      </w:r>
      <w:r>
        <w:rPr>
          <w:rFonts w:eastAsia="仿宋_GB2312"/>
          <w:sz w:val="32"/>
          <w:szCs w:val="32"/>
        </w:rPr>
        <w:t>万元，增长</w:t>
      </w:r>
      <w:r>
        <w:rPr>
          <w:rFonts w:hint="eastAsia" w:eastAsia="仿宋_GB2312"/>
          <w:sz w:val="32"/>
          <w:szCs w:val="32"/>
          <w:lang w:val="en-US" w:eastAsia="zh-CN"/>
        </w:rPr>
        <w:t>33.48</w:t>
      </w:r>
      <w:r>
        <w:rPr>
          <w:rFonts w:eastAsia="仿宋_GB2312"/>
          <w:sz w:val="32"/>
          <w:szCs w:val="32"/>
        </w:rPr>
        <w:t>%，主要是</w:t>
      </w:r>
      <w:r>
        <w:rPr>
          <w:rFonts w:hint="eastAsia" w:eastAsia="仿宋_GB2312"/>
          <w:sz w:val="32"/>
          <w:szCs w:val="32"/>
        </w:rPr>
        <w:t>创城与办公任务增加</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default" w:ascii="仿宋_GB2312" w:eastAsia="仿宋_GB2312" w:cs="DengXian-Regular"/>
          <w:sz w:val="32"/>
          <w:szCs w:val="32"/>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辆，比上年增加（减少）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eastAsia="zh-CN"/>
        </w:rPr>
        <w:t>无增减。</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val="en-US" w:eastAsia="zh-CN"/>
        </w:rPr>
        <w:t>政府性基金预算财政拨款、国有资本经营预算财政拨款、政府采购</w:t>
      </w:r>
      <w:r>
        <w:rPr>
          <w:rFonts w:hint="eastAsia" w:ascii="仿宋_GB2312" w:eastAsia="仿宋_GB2312" w:cs="DengXian-Regular"/>
          <w:sz w:val="32"/>
          <w:szCs w:val="32"/>
        </w:rPr>
        <w:t>无收支及结转结余情况，故</w:t>
      </w:r>
      <w:r>
        <w:rPr>
          <w:rFonts w:hint="eastAsia" w:ascii="仿宋_GB2312" w:eastAsia="仿宋_GB2312" w:cs="DengXian-Regular"/>
          <w:sz w:val="32"/>
          <w:szCs w:val="32"/>
          <w:lang w:val="en-US" w:eastAsia="zh-CN"/>
        </w:rPr>
        <w:t>政府性基金预算财政拨款收入支出决算表、国有资本经营预算财政拨款支出决算表、政府采购情况</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25A2A8"/>
    <w:multiLevelType w:val="singleLevel"/>
    <w:tmpl w:val="C025A2A8"/>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B035E"/>
    <w:rsid w:val="01C323E1"/>
    <w:rsid w:val="02AD4360"/>
    <w:rsid w:val="14811F29"/>
    <w:rsid w:val="260F104F"/>
    <w:rsid w:val="3D0F0786"/>
    <w:rsid w:val="488C10AA"/>
    <w:rsid w:val="4DDF2065"/>
    <w:rsid w:val="742B03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2019-10-15T02:58:00Z</dcterms:created>
  <dc:creator>小薇</dc:creator>
  <cp:lastModifiedBy>小薇</cp:lastModifiedBy>
  <dcterms:modified xsi:type="dcterms:W3CDTF">2021-05-26T08:34:53Z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